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4835F9" w:rsidRDefault="00EF7313" w:rsidP="004835F9">
      <w:pPr>
        <w:pBdr>
          <w:bottom w:val="single" w:sz="4" w:space="1" w:color="auto"/>
        </w:pBd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4835F9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4835F9" w:rsidRPr="004835F9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4835F9" w:rsidRDefault="009B6885" w:rsidP="004835F9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4835F9" w:rsidRDefault="009B6885" w:rsidP="004835F9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4835F9" w:rsidRDefault="009B6885" w:rsidP="004835F9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4835F9" w:rsidRDefault="004835F9" w:rsidP="004835F9">
      <w:pPr>
        <w:tabs>
          <w:tab w:val="left" w:pos="340"/>
          <w:tab w:val="left" w:pos="624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835F9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4835F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CB786B" w:rsidRPr="004835F9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9C16F5" w:rsidRPr="004835F9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CB786B" w:rsidRPr="004835F9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4835F9" w:rsidRPr="004835F9" w:rsidRDefault="004835F9" w:rsidP="004835F9">
      <w:pPr>
        <w:tabs>
          <w:tab w:val="left" w:pos="340"/>
          <w:tab w:val="left" w:pos="624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835F9">
        <w:rPr>
          <w:rFonts w:ascii="Times New Roman" w:hAnsi="Times New Roman" w:cs="Times New Roman"/>
          <w:b/>
          <w:color w:val="0070C0"/>
          <w:sz w:val="20"/>
          <w:szCs w:val="20"/>
        </w:rPr>
        <w:t>2.7.1</w:t>
      </w:r>
      <w:r w:rsidRPr="004835F9">
        <w:rPr>
          <w:rFonts w:ascii="Times New Roman" w:hAnsi="Times New Roman" w:cs="Times New Roman"/>
          <w:b/>
          <w:color w:val="0070C0"/>
          <w:sz w:val="20"/>
          <w:szCs w:val="20"/>
        </w:rPr>
        <w:tab/>
        <w:t>Leren in context</w:t>
      </w:r>
    </w:p>
    <w:p w:rsidR="009B6885" w:rsidRPr="004835F9" w:rsidRDefault="004835F9" w:rsidP="004835F9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835F9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4835F9" w:rsidRPr="004835F9" w:rsidRDefault="004835F9" w:rsidP="004835F9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4F3E9E" w:rsidRPr="004835F9" w:rsidRDefault="004F3E9E" w:rsidP="004835F9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35F9">
        <w:rPr>
          <w:rFonts w:ascii="Times New Roman" w:hAnsi="Times New Roman" w:cs="Times New Roman"/>
          <w:b/>
          <w:color w:val="0070C0"/>
          <w:sz w:val="28"/>
          <w:szCs w:val="28"/>
        </w:rPr>
        <w:t>Concept-context</w:t>
      </w:r>
      <w:r w:rsidR="00B454F2">
        <w:rPr>
          <w:rFonts w:ascii="Times New Roman" w:hAnsi="Times New Roman" w:cs="Times New Roman"/>
          <w:b/>
          <w:color w:val="0070C0"/>
          <w:sz w:val="28"/>
          <w:szCs w:val="28"/>
        </w:rPr>
        <w:t>venster</w:t>
      </w:r>
    </w:p>
    <w:p w:rsidR="004F3E9E" w:rsidRPr="004835F9" w:rsidRDefault="004F3E9E" w:rsidP="004835F9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4F3E9E" w:rsidRPr="004835F9" w:rsidRDefault="004F3E9E" w:rsidP="004835F9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835F9">
        <w:rPr>
          <w:rFonts w:ascii="Times New Roman" w:hAnsi="Times New Roman" w:cs="Times New Roman"/>
          <w:b/>
          <w:sz w:val="20"/>
          <w:szCs w:val="20"/>
        </w:rPr>
        <w:t>1</w:t>
      </w:r>
      <w:r w:rsidRPr="004835F9">
        <w:rPr>
          <w:rFonts w:ascii="Times New Roman" w:hAnsi="Times New Roman" w:cs="Times New Roman"/>
          <w:sz w:val="20"/>
          <w:szCs w:val="20"/>
        </w:rPr>
        <w:tab/>
      </w:r>
      <w:r w:rsidR="004835F9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4F3E9E" w:rsidRPr="004835F9" w:rsidRDefault="00092B4D" w:rsidP="004835F9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8B90" wp14:editId="44CEFDC9">
                <wp:simplePos x="0" y="0"/>
                <wp:positionH relativeFrom="column">
                  <wp:posOffset>-1984375</wp:posOffset>
                </wp:positionH>
                <wp:positionV relativeFrom="paragraph">
                  <wp:posOffset>381965</wp:posOffset>
                </wp:positionV>
                <wp:extent cx="1799590" cy="1403985"/>
                <wp:effectExtent l="0" t="0" r="10160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9E" w:rsidRPr="004835F9" w:rsidRDefault="004F3E9E" w:rsidP="004F3E9E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835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Lesmateriaalvoorbeelden</w:t>
                            </w:r>
                          </w:p>
                          <w:p w:rsidR="004F3E9E" w:rsidRPr="004835F9" w:rsidRDefault="004F3E9E" w:rsidP="004F3E9E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835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Vier uitwerkingen van de concept-contextbenadering bij de leerstof uit het subdomein 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C2 </w:t>
                            </w:r>
                            <w:proofErr w:type="spellStart"/>
                            <w:r w:rsidRPr="004835F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Energieomzet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softHyphen/>
                              <w:t>tingen</w:t>
                            </w:r>
                            <w:proofErr w:type="spellEnd"/>
                            <w:r w:rsidRPr="004835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 de 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Syllabus centraal examen 2015 Natuurkunde HAVO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6F60" w:rsidRPr="004835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 de fictieve methode ‘Natuurkunde </w:t>
                            </w:r>
                            <w:r w:rsidR="003A6F60" w:rsidRPr="004835F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in context</w:t>
                            </w:r>
                            <w:r w:rsidR="003A6F60" w:rsidRPr="004835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| 5H’:</w:t>
                            </w:r>
                          </w:p>
                          <w:p w:rsidR="004F3E9E" w:rsidRPr="004835F9" w:rsidRDefault="004F3E9E" w:rsidP="004F3E9E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35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Energieomzettingen</w:t>
                            </w:r>
                          </w:p>
                          <w:p w:rsidR="004F3E9E" w:rsidRPr="004835F9" w:rsidRDefault="004F3E9E" w:rsidP="004F3E9E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35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Sport en beweging</w:t>
                            </w:r>
                          </w:p>
                          <w:p w:rsidR="004F3E9E" w:rsidRPr="004835F9" w:rsidRDefault="004F3E9E" w:rsidP="004F3E9E">
                            <w:pPr>
                              <w:tabs>
                                <w:tab w:val="left" w:pos="284"/>
                              </w:tabs>
                              <w:ind w:left="340" w:hanging="3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35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Brandstofverbruik in het verkeer</w:t>
                            </w:r>
                          </w:p>
                          <w:p w:rsidR="004F3E9E" w:rsidRPr="004835F9" w:rsidRDefault="004F3E9E" w:rsidP="004F3E9E">
                            <w:pPr>
                              <w:tabs>
                                <w:tab w:val="left" w:pos="284"/>
                              </w:tabs>
                              <w:ind w:left="340" w:hanging="3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35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Energie</w:t>
                            </w:r>
                            <w:r w:rsidR="00D559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</w:t>
                            </w:r>
                            <w:r w:rsidRPr="004835F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arbeid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25pt;margin-top:30.1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">
                <v:textbox style="mso-fit-shape-to-text:t" inset="1mm,1mm,1mm,1mm">
                  <w:txbxContent>
                    <w:p w:rsidR="004F3E9E" w:rsidRPr="004835F9" w:rsidRDefault="004F3E9E" w:rsidP="004F3E9E">
                      <w:p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835F9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Lesmateriaalvoorbeelden</w:t>
                      </w:r>
                    </w:p>
                    <w:p w:rsidR="004F3E9E" w:rsidRPr="004835F9" w:rsidRDefault="004F3E9E" w:rsidP="004F3E9E">
                      <w:p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835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Vier uitwerkingen van de concept-contextbenadering bij de leerstof uit het subdomein </w:t>
                      </w:r>
                      <w:r w:rsidRPr="004835F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C2 </w:t>
                      </w:r>
                      <w:proofErr w:type="spellStart"/>
                      <w:r w:rsidRPr="004835F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Energieomzet</w:t>
                      </w:r>
                      <w:r w:rsidRPr="004835F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softHyphen/>
                        <w:t>tingen</w:t>
                      </w:r>
                      <w:proofErr w:type="spellEnd"/>
                      <w:r w:rsidRPr="004835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 de </w:t>
                      </w:r>
                      <w:r w:rsidRPr="004835F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Syllabus centraal examen 2015 Natuurkunde HAVO</w:t>
                      </w:r>
                      <w:r w:rsidRPr="004835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A6F60" w:rsidRPr="004835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 de fictieve methode ‘Natuurkunde </w:t>
                      </w:r>
                      <w:r w:rsidR="003A6F60" w:rsidRPr="004835F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in context</w:t>
                      </w:r>
                      <w:r w:rsidR="003A6F60" w:rsidRPr="004835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| 5H’:</w:t>
                      </w:r>
                    </w:p>
                    <w:p w:rsidR="004F3E9E" w:rsidRPr="004835F9" w:rsidRDefault="004F3E9E" w:rsidP="004F3E9E">
                      <w:p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835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4835F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Energieomzettingen</w:t>
                      </w:r>
                    </w:p>
                    <w:p w:rsidR="004F3E9E" w:rsidRPr="004835F9" w:rsidRDefault="004F3E9E" w:rsidP="004F3E9E">
                      <w:p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835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Pr="004835F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Sport en beweging</w:t>
                      </w:r>
                    </w:p>
                    <w:p w:rsidR="004F3E9E" w:rsidRPr="004835F9" w:rsidRDefault="004F3E9E" w:rsidP="004F3E9E">
                      <w:pPr>
                        <w:tabs>
                          <w:tab w:val="left" w:pos="284"/>
                        </w:tabs>
                        <w:ind w:left="340" w:hanging="34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835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4835F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Brandstofverbruik in het verkeer</w:t>
                      </w:r>
                    </w:p>
                    <w:p w:rsidR="004F3E9E" w:rsidRPr="004835F9" w:rsidRDefault="004F3E9E" w:rsidP="004F3E9E">
                      <w:pPr>
                        <w:tabs>
                          <w:tab w:val="left" w:pos="284"/>
                        </w:tabs>
                        <w:ind w:left="340" w:hanging="34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835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4835F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ab/>
                        <w:t>Energie</w:t>
                      </w:r>
                      <w:r w:rsidR="00D5594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en</w:t>
                      </w:r>
                      <w:r w:rsidRPr="004835F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arbeid</w:t>
                      </w:r>
                    </w:p>
                  </w:txbxContent>
                </v:textbox>
              </v:shape>
            </w:pict>
          </mc:Fallback>
        </mc:AlternateContent>
      </w:r>
      <w:r w:rsidR="004F3E9E" w:rsidRPr="004835F9">
        <w:rPr>
          <w:rFonts w:ascii="Times New Roman" w:hAnsi="Times New Roman" w:cs="Times New Roman"/>
          <w:sz w:val="20"/>
          <w:szCs w:val="20"/>
        </w:rPr>
        <w:tab/>
        <w:t>Lees paragraaf 2.7</w:t>
      </w:r>
      <w:r w:rsidR="003A6F60" w:rsidRPr="004835F9">
        <w:rPr>
          <w:rFonts w:ascii="Times New Roman" w:hAnsi="Times New Roman" w:cs="Times New Roman"/>
          <w:sz w:val="20"/>
          <w:szCs w:val="20"/>
        </w:rPr>
        <w:t>.1</w:t>
      </w:r>
      <w:r w:rsidR="004F3E9E" w:rsidRPr="004835F9">
        <w:rPr>
          <w:rFonts w:ascii="Times New Roman" w:hAnsi="Times New Roman" w:cs="Times New Roman"/>
          <w:sz w:val="20"/>
          <w:szCs w:val="20"/>
        </w:rPr>
        <w:t xml:space="preserve"> over </w:t>
      </w:r>
      <w:r w:rsidR="003640EA">
        <w:rPr>
          <w:rFonts w:ascii="Times New Roman" w:hAnsi="Times New Roman" w:cs="Times New Roman"/>
          <w:sz w:val="20"/>
          <w:szCs w:val="20"/>
        </w:rPr>
        <w:t xml:space="preserve">leren in </w:t>
      </w:r>
      <w:r w:rsidR="004F3E9E" w:rsidRPr="004835F9">
        <w:rPr>
          <w:rFonts w:ascii="Times New Roman" w:hAnsi="Times New Roman" w:cs="Times New Roman"/>
          <w:sz w:val="20"/>
          <w:szCs w:val="20"/>
        </w:rPr>
        <w:t xml:space="preserve">context. Verdeel de </w:t>
      </w:r>
      <w:r w:rsidR="003A6F60" w:rsidRPr="004835F9">
        <w:rPr>
          <w:rFonts w:ascii="Times New Roman" w:hAnsi="Times New Roman" w:cs="Times New Roman"/>
          <w:sz w:val="20"/>
          <w:szCs w:val="20"/>
        </w:rPr>
        <w:t xml:space="preserve">op de website van dit handboek </w:t>
      </w:r>
      <w:r w:rsidR="004F3E9E" w:rsidRPr="004835F9">
        <w:rPr>
          <w:rFonts w:ascii="Times New Roman" w:hAnsi="Times New Roman" w:cs="Times New Roman"/>
          <w:sz w:val="20"/>
          <w:szCs w:val="20"/>
        </w:rPr>
        <w:t xml:space="preserve">genoemde vier lesmateriaalvoorbeelden </w:t>
      </w:r>
      <w:r w:rsidR="003A6F60" w:rsidRPr="004835F9">
        <w:rPr>
          <w:rFonts w:ascii="Times New Roman" w:hAnsi="Times New Roman" w:cs="Times New Roman"/>
          <w:sz w:val="20"/>
          <w:szCs w:val="20"/>
        </w:rPr>
        <w:t xml:space="preserve">van de fictieve methode ‘Natuurkunde </w:t>
      </w:r>
      <w:r w:rsidR="003A6F60" w:rsidRPr="004835F9">
        <w:rPr>
          <w:rFonts w:ascii="Times New Roman" w:hAnsi="Times New Roman" w:cs="Times New Roman"/>
          <w:i/>
          <w:sz w:val="20"/>
          <w:szCs w:val="20"/>
        </w:rPr>
        <w:t>in context</w:t>
      </w:r>
      <w:r w:rsidR="003A6F60" w:rsidRPr="004835F9">
        <w:rPr>
          <w:rFonts w:ascii="Times New Roman" w:hAnsi="Times New Roman" w:cs="Times New Roman"/>
          <w:sz w:val="20"/>
          <w:szCs w:val="20"/>
        </w:rPr>
        <w:t xml:space="preserve"> | 5H’ </w:t>
      </w:r>
      <w:r w:rsidR="004F3E9E" w:rsidRPr="004835F9">
        <w:rPr>
          <w:rFonts w:ascii="Times New Roman" w:hAnsi="Times New Roman" w:cs="Times New Roman"/>
          <w:sz w:val="20"/>
          <w:szCs w:val="20"/>
        </w:rPr>
        <w:t>over de leden van de groep.</w:t>
      </w:r>
    </w:p>
    <w:p w:rsidR="004F3E9E" w:rsidRPr="004835F9" w:rsidRDefault="004F3E9E" w:rsidP="004835F9">
      <w:pPr>
        <w:pStyle w:val="Lijstalinea"/>
        <w:numPr>
          <w:ilvl w:val="0"/>
          <w:numId w:val="1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>Analyseer het gekozen/toegewezen lesmateriaalvoorbeeld op de volgende punten:</w:t>
      </w:r>
    </w:p>
    <w:p w:rsidR="004F3E9E" w:rsidRPr="004835F9" w:rsidRDefault="004F3E9E" w:rsidP="004835F9">
      <w:pPr>
        <w:pStyle w:val="Lijstalinea"/>
        <w:numPr>
          <w:ilvl w:val="0"/>
          <w:numId w:val="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>de al dan niet volledige uitwerking van de betreffende eindterm en de bijbehorende specificatie, inclusief de in de specificatie voorgeschreven contexten</w:t>
      </w:r>
      <w:r w:rsidR="003A6F60" w:rsidRPr="004835F9">
        <w:rPr>
          <w:rFonts w:ascii="Times New Roman" w:hAnsi="Times New Roman" w:cs="Times New Roman"/>
          <w:sz w:val="20"/>
          <w:szCs w:val="20"/>
        </w:rPr>
        <w:t xml:space="preserve"> (zie het kader ‘Energieomzettingen’ hieronder)</w:t>
      </w:r>
      <w:r w:rsidRPr="004835F9">
        <w:rPr>
          <w:rFonts w:ascii="Times New Roman" w:hAnsi="Times New Roman" w:cs="Times New Roman"/>
          <w:sz w:val="20"/>
          <w:szCs w:val="20"/>
        </w:rPr>
        <w:t>,</w:t>
      </w:r>
    </w:p>
    <w:p w:rsidR="004F3E9E" w:rsidRPr="004835F9" w:rsidRDefault="004F3E9E" w:rsidP="004835F9">
      <w:pPr>
        <w:pStyle w:val="Lijstalinea"/>
        <w:numPr>
          <w:ilvl w:val="0"/>
          <w:numId w:val="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>de eventueel toegevoegde extra leerstof (buiten de bij de eindterm behorende specificatie),</w:t>
      </w:r>
    </w:p>
    <w:p w:rsidR="004F3E9E" w:rsidRPr="004835F9" w:rsidRDefault="004F3E9E" w:rsidP="004835F9">
      <w:pPr>
        <w:pStyle w:val="Lijstalinea"/>
        <w:numPr>
          <w:ilvl w:val="0"/>
          <w:numId w:val="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>de gekozen oplossing voor het realiseren van de door de specificatie voorgeschreven wendbaarheid in het toepassen van de leerstof in een variëteit aan contexten.</w:t>
      </w:r>
    </w:p>
    <w:p w:rsidR="004F3E9E" w:rsidRDefault="004F3E9E" w:rsidP="004835F9">
      <w:pPr>
        <w:pStyle w:val="Lijstalinea"/>
        <w:numPr>
          <w:ilvl w:val="0"/>
          <w:numId w:val="1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>Beoordeel of het gekozen/toegewezen lesmateriaalvoorbeeld voldoet aan de criteria voor het bijbehorende kwadrant in het concept-c</w:t>
      </w:r>
      <w:bookmarkStart w:id="0" w:name="_GoBack"/>
      <w:bookmarkEnd w:id="0"/>
      <w:r w:rsidRPr="004835F9">
        <w:rPr>
          <w:rFonts w:ascii="Times New Roman" w:hAnsi="Times New Roman" w:cs="Times New Roman"/>
          <w:sz w:val="20"/>
          <w:szCs w:val="20"/>
        </w:rPr>
        <w:t xml:space="preserve">ontextvenster zoals genoemd op blz. 30-36 in de publicatie </w:t>
      </w:r>
      <w:r w:rsidRPr="004835F9">
        <w:rPr>
          <w:rFonts w:ascii="Times New Roman" w:hAnsi="Times New Roman" w:cs="Times New Roman"/>
          <w:i/>
          <w:sz w:val="20"/>
          <w:szCs w:val="20"/>
        </w:rPr>
        <w:t>Concept-contextvenster – Zicht op de wisselwerking tussen concepten en contexten in het bèta-onderwijs</w:t>
      </w:r>
      <w:r w:rsidRPr="004835F9">
        <w:rPr>
          <w:rFonts w:ascii="Times New Roman" w:hAnsi="Times New Roman" w:cs="Times New Roman"/>
          <w:sz w:val="20"/>
          <w:szCs w:val="20"/>
        </w:rPr>
        <w:t xml:space="preserve"> (Bruning &amp; Michels, 2013).</w:t>
      </w:r>
    </w:p>
    <w:p w:rsidR="00DE0A60" w:rsidRPr="004835F9" w:rsidRDefault="00DE0A60" w:rsidP="004835F9">
      <w:pPr>
        <w:tabs>
          <w:tab w:val="left" w:pos="340"/>
          <w:tab w:val="left" w:pos="624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652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</w:tblGrid>
      <w:tr w:rsidR="003A6F60" w:rsidRPr="004835F9" w:rsidTr="00DE0A60">
        <w:tc>
          <w:tcPr>
            <w:tcW w:w="6521" w:type="dxa"/>
            <w:shd w:val="clear" w:color="auto" w:fill="D9D9D9" w:themeFill="background1" w:themeFillShade="D9"/>
          </w:tcPr>
          <w:p w:rsidR="003A6F60" w:rsidRPr="004835F9" w:rsidRDefault="003A6F60" w:rsidP="004835F9">
            <w:pPr>
              <w:tabs>
                <w:tab w:val="left" w:pos="340"/>
                <w:tab w:val="left" w:pos="62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35F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Energieomzettingen</w:t>
            </w:r>
          </w:p>
          <w:p w:rsidR="003A6F60" w:rsidRPr="004835F9" w:rsidRDefault="003A6F60" w:rsidP="004835F9">
            <w:pPr>
              <w:tabs>
                <w:tab w:val="left" w:pos="340"/>
                <w:tab w:val="left" w:pos="624"/>
              </w:tabs>
              <w:spacing w:before="1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35F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Syllabus</w:t>
            </w:r>
          </w:p>
          <w:p w:rsidR="003A6F60" w:rsidRPr="004835F9" w:rsidRDefault="003A6F60" w:rsidP="004835F9">
            <w:pPr>
              <w:tabs>
                <w:tab w:val="left" w:pos="340"/>
                <w:tab w:val="left" w:pos="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Een voorbeeld van de onderverdeling in kernconcepten, concepten en </w:t>
            </w:r>
            <w:proofErr w:type="spellStart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vakbegrippen</w:t>
            </w:r>
            <w:proofErr w:type="spellEnd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 is te ontlenen aan de </w:t>
            </w:r>
            <w:r w:rsidRPr="004835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Syllabus centraal examen 2015 Natuurkunde </w:t>
            </w:r>
            <w:r w:rsidR="00C56B13">
              <w:rPr>
                <w:rFonts w:ascii="Times New Roman" w:hAnsi="Times New Roman" w:cs="Times New Roman"/>
                <w:i/>
                <w:sz w:val="18"/>
                <w:szCs w:val="18"/>
              </w:rPr>
              <w:t>havo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CvE</w:t>
            </w:r>
            <w:proofErr w:type="spellEnd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, 2012), subdomein </w:t>
            </w:r>
            <w:r w:rsidRPr="004835F9">
              <w:rPr>
                <w:rFonts w:ascii="Times New Roman" w:hAnsi="Times New Roman" w:cs="Times New Roman"/>
                <w:i/>
                <w:sz w:val="18"/>
                <w:szCs w:val="18"/>
              </w:rPr>
              <w:t>C2 Energieomzettingen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, met de volgende eindterm en specificatie: </w:t>
            </w:r>
          </w:p>
          <w:p w:rsidR="003A6F60" w:rsidRPr="004835F9" w:rsidRDefault="003A6F60" w:rsidP="004835F9">
            <w:pPr>
              <w:tabs>
                <w:tab w:val="left" w:pos="340"/>
                <w:tab w:val="left" w:pos="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35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Eindterm</w:t>
            </w:r>
            <w:r w:rsidRPr="004835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e kandidaat kan in contexten de begrippen energiebehoud, rendement, arbeid en warmte gebruiken om energieomzettingen te beschrijven en te analyseren.</w:t>
            </w:r>
          </w:p>
          <w:p w:rsidR="003A6F60" w:rsidRPr="004835F9" w:rsidRDefault="003A6F60" w:rsidP="003640EA">
            <w:pPr>
              <w:tabs>
                <w:tab w:val="left" w:pos="340"/>
                <w:tab w:val="left" w:pos="624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5F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Specificatie</w:t>
            </w:r>
            <w:r w:rsidRPr="004835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e kandidaat kan:</w:t>
            </w:r>
          </w:p>
          <w:tbl>
            <w:tblPr>
              <w:tblStyle w:val="Tabelraster"/>
              <w:tblW w:w="6407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6180"/>
            </w:tblGrid>
            <w:tr w:rsidR="003A6F60" w:rsidRPr="004835F9" w:rsidTr="003640EA">
              <w:tc>
                <w:tcPr>
                  <w:tcW w:w="227" w:type="dxa"/>
                  <w:tcBorders>
                    <w:top w:val="single" w:sz="12" w:space="0" w:color="FFFFFF" w:themeColor="background1"/>
                    <w:bottom w:val="nil"/>
                  </w:tcBorders>
                  <w:shd w:val="clear" w:color="auto" w:fill="D9D9D9" w:themeFill="background1" w:themeFillShade="D9"/>
                </w:tcPr>
                <w:p w:rsidR="003A6F60" w:rsidRPr="004835F9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5" w:type="dxa"/>
                  <w:tcBorders>
                    <w:top w:val="single" w:sz="12" w:space="0" w:color="FFFFFF" w:themeColor="background1"/>
                    <w:bottom w:val="nil"/>
                  </w:tcBorders>
                  <w:shd w:val="clear" w:color="auto" w:fill="D9D9D9" w:themeFill="background1" w:themeFillShade="D9"/>
                </w:tcPr>
                <w:p w:rsidR="003A6F60" w:rsidRPr="004835F9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berekeningen maken met betrekking tot kracht, verplaatsing, arbeid, snelheid en vermogen,</w:t>
                  </w:r>
                </w:p>
                <w:p w:rsidR="003A6F60" w:rsidRPr="004835F9" w:rsidRDefault="003A6F60" w:rsidP="00B4439A">
                  <w:pPr>
                    <w:pStyle w:val="Lijstalinea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berekenen van arbeid uit kracht en verplaatsing alleen in situaties waarbij de richting van de kracht evenwijdig is aan de verplaatsing.</w:t>
                  </w:r>
                </w:p>
              </w:tc>
            </w:tr>
            <w:tr w:rsidR="003A6F60" w:rsidRPr="004835F9" w:rsidTr="003640EA">
              <w:tc>
                <w:tcPr>
                  <w:tcW w:w="227" w:type="dxa"/>
                  <w:tcBorders>
                    <w:top w:val="nil"/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:rsidR="003A6F60" w:rsidRPr="004835F9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5" w:type="dxa"/>
                  <w:tcBorders>
                    <w:top w:val="nil"/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:rsidR="003A6F60" w:rsidRPr="004835F9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energieomzettingen bij bewegingen analyseren,</w:t>
                  </w:r>
                </w:p>
                <w:p w:rsidR="003A6F60" w:rsidRPr="00DB349B" w:rsidRDefault="003A6F60" w:rsidP="00B4439A">
                  <w:pPr>
                    <w:pStyle w:val="Lijstaline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4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 wet van behoud van energie en de relatie tussen arbeid en kinetische energie toepassen;</w:t>
                  </w:r>
                </w:p>
                <w:p w:rsidR="003A6F60" w:rsidRPr="00DB349B" w:rsidRDefault="003A6F60" w:rsidP="00B4439A">
                  <w:pPr>
                    <w:pStyle w:val="Lijstaline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B34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minimaal de bewegingen: vrije val, valbeweging met wrijving en verticale worp;</w:t>
                  </w:r>
                  <w:proofErr w:type="gramEnd"/>
                </w:p>
                <w:p w:rsidR="003A6F60" w:rsidRPr="00DB349B" w:rsidRDefault="003A6F60" w:rsidP="00B4439A">
                  <w:pPr>
                    <w:pStyle w:val="Lijstaline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B34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energieën: kinetische energie, zwaarte-energie, chemische energie, warmte;</w:t>
                  </w:r>
                  <w:proofErr w:type="gramEnd"/>
                </w:p>
                <w:p w:rsidR="003A6F60" w:rsidRPr="00DB349B" w:rsidRDefault="003A6F60" w:rsidP="00B4439A">
                  <w:pPr>
                    <w:pStyle w:val="Lijstaline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B34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vakbegrip</w:t>
                  </w:r>
                  <w:proofErr w:type="spellEnd"/>
                  <w:r w:rsidRPr="00DB34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wrijvingsarbeid;</w:t>
                  </w:r>
                  <w:proofErr w:type="gramEnd"/>
                </w:p>
                <w:p w:rsidR="003A6F60" w:rsidRPr="00DB349B" w:rsidRDefault="003A6F60" w:rsidP="00B4439A">
                  <w:pPr>
                    <w:pStyle w:val="Lijstaline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4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minimaal in de contexten: energiegebruik en energiebesparing in het verkeer, de bewegende mens.</w:t>
                  </w:r>
                </w:p>
              </w:tc>
            </w:tr>
            <w:tr w:rsidR="003A6F60" w:rsidRPr="004835F9" w:rsidTr="003640EA">
              <w:tc>
                <w:tcPr>
                  <w:tcW w:w="6462" w:type="dxa"/>
                  <w:gridSpan w:val="2"/>
                  <w:tcBorders>
                    <w:top w:val="single" w:sz="12" w:space="0" w:color="FFFFFF" w:themeColor="background1"/>
                    <w:bottom w:val="nil"/>
                  </w:tcBorders>
                  <w:shd w:val="clear" w:color="auto" w:fill="D9D9D9" w:themeFill="background1" w:themeFillShade="D9"/>
                </w:tcPr>
                <w:p w:rsidR="003A6F60" w:rsidRPr="004835F9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 volgende formules horen bij deze specificaties:</w:t>
                  </w:r>
                </w:p>
              </w:tc>
            </w:tr>
            <w:tr w:rsidR="003A6F60" w:rsidRPr="004835F9" w:rsidTr="00B4439A">
              <w:tc>
                <w:tcPr>
                  <w:tcW w:w="227" w:type="dxa"/>
                  <w:tcBorders>
                    <w:top w:val="nil"/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:rsidR="003A6F60" w:rsidRPr="004835F9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35" w:type="dxa"/>
                  <w:tcBorders>
                    <w:top w:val="nil"/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:rsidR="003A6F60" w:rsidRPr="00DB349B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W=F∙s</m:t>
                    </m:r>
                  </m:oMath>
                  <w:r w:rsidRPr="00DB34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3A6F60" w:rsidRPr="004835F9" w:rsidRDefault="003A6F60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den>
                    </m:f>
                  </m:oMath>
                  <w:r w:rsidRPr="004835F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den>
                    </m:f>
                  </m:oMath>
                  <w:r w:rsidRPr="004835F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P=F∙v</m:t>
                    </m:r>
                  </m:oMath>
                </w:p>
                <w:p w:rsidR="003A6F60" w:rsidRPr="004835F9" w:rsidRDefault="00D5594B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=</m:t>
                    </m:r>
                    <m:box>
                      <m:box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∙m∙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oMath>
                  <w:r w:rsidR="003A6F60" w:rsidRPr="004835F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=m∙g∙h</m:t>
                    </m:r>
                  </m:oMath>
                  <w:r w:rsidR="003A6F60" w:rsidRPr="004835F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∙V</m:t>
                    </m:r>
                  </m:oMath>
                  <w:r w:rsidR="003A6F60" w:rsidRPr="004835F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ch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∙m</m:t>
                    </m:r>
                  </m:oMath>
                </w:p>
                <w:p w:rsidR="003A6F60" w:rsidRPr="004835F9" w:rsidRDefault="00D5594B" w:rsidP="004835F9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tot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=∆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sub>
                    </m:sSub>
                  </m:oMath>
                  <w:r w:rsidR="003A6F60" w:rsidRPr="004835F9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tot,in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tot</m:t>
                        </m:r>
                        <w:proofErr w:type="gramStart"/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,uit</m:t>
                        </m:r>
                      </m:sub>
                    </m:sSub>
                  </m:oMath>
                  <w:proofErr w:type="gramEnd"/>
                </w:p>
                <w:p w:rsidR="003A6F60" w:rsidRPr="00DB349B" w:rsidRDefault="003A6F60" w:rsidP="00DB349B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η=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nuttig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nuttig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in</m:t>
                            </m:r>
                          </m:sub>
                        </m:sSub>
                      </m:den>
                    </m:f>
                  </m:oMath>
                  <w:r w:rsidR="00DB349B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A6F60" w:rsidRPr="004835F9" w:rsidRDefault="003A6F60" w:rsidP="004835F9">
            <w:pPr>
              <w:tabs>
                <w:tab w:val="left" w:pos="340"/>
                <w:tab w:val="left" w:pos="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 eindterm en de bijbehorende specificaties zijn in subdomein </w:t>
            </w:r>
            <w:r w:rsidRPr="004835F9">
              <w:rPr>
                <w:rFonts w:ascii="Times New Roman" w:hAnsi="Times New Roman" w:cs="Times New Roman"/>
                <w:i/>
                <w:sz w:val="18"/>
                <w:szCs w:val="18"/>
              </w:rPr>
              <w:t>C2 Energie en wissel</w:t>
            </w:r>
            <w:r w:rsidR="00DB349B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</w:r>
            <w:r w:rsidRPr="004835F9">
              <w:rPr>
                <w:rFonts w:ascii="Times New Roman" w:hAnsi="Times New Roman" w:cs="Times New Roman"/>
                <w:i/>
                <w:sz w:val="18"/>
                <w:szCs w:val="18"/>
              </w:rPr>
              <w:t>werking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 voor </w:t>
            </w:r>
            <w:r w:rsidR="00C56B13">
              <w:rPr>
                <w:rFonts w:ascii="Times New Roman" w:hAnsi="Times New Roman" w:cs="Times New Roman"/>
                <w:sz w:val="18"/>
                <w:szCs w:val="18"/>
              </w:rPr>
              <w:t>vwo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 vergelijkbaar, zij het met een breder scala aan situaties waarin arbeid moet kunnen worden berekend (positieve en negatieve arbeid, arbeid bij een hoek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α</m:t>
              </m:r>
            </m:oMath>
            <w:r w:rsidRPr="004835F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tussen kracht en verplaatsing, arbeid bij een veranderlijke kracht)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, en met een breder scala aan bewegingssituaties (trilling en </w:t>
            </w:r>
            <w:proofErr w:type="spellStart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stuiter</w:t>
            </w:r>
            <w:r w:rsidRPr="004835F9">
              <w:rPr>
                <w:rFonts w:ascii="Times New Roman" w:hAnsi="Times New Roman" w:cs="Times New Roman"/>
                <w:sz w:val="18"/>
                <w:szCs w:val="18"/>
              </w:rPr>
              <w:softHyphen/>
              <w:t>beweging</w:t>
            </w:r>
            <w:proofErr w:type="spellEnd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, inclusief veerenergie).</w:t>
            </w:r>
          </w:p>
          <w:p w:rsidR="003A6F60" w:rsidRPr="004835F9" w:rsidRDefault="003A6F60" w:rsidP="00DB349B">
            <w:pPr>
              <w:tabs>
                <w:tab w:val="left" w:pos="340"/>
                <w:tab w:val="left" w:pos="624"/>
              </w:tabs>
              <w:spacing w:before="12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35F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Conceptuele vakstructuur</w:t>
            </w:r>
          </w:p>
          <w:p w:rsidR="003A6F60" w:rsidRDefault="003A6F60" w:rsidP="003640EA">
            <w:pPr>
              <w:tabs>
                <w:tab w:val="left" w:pos="340"/>
                <w:tab w:val="left" w:pos="624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De fysische leerinhoud van dit subdomein is – met de in de specificatie van de eindterm beschreven inperkingen – hiërarchisch in kaart te brengen zoals in de figuur hieronder.</w:t>
            </w:r>
          </w:p>
          <w:tbl>
            <w:tblPr>
              <w:tblStyle w:val="Tabelraster"/>
              <w:tblW w:w="6407" w:type="dxa"/>
              <w:tblBorders>
                <w:top w:val="single" w:sz="12" w:space="0" w:color="FFFFFF" w:themeColor="background1"/>
                <w:left w:val="none" w:sz="0" w:space="0" w:color="auto"/>
                <w:bottom w:val="single" w:sz="12" w:space="0" w:color="FFFFFF" w:themeColor="background1"/>
                <w:right w:val="none" w:sz="0" w:space="0" w:color="auto"/>
                <w:insideH w:val="single" w:sz="12" w:space="0" w:color="FFFFFF" w:themeColor="background1"/>
                <w:insideV w:val="none" w:sz="0" w:space="0" w:color="auto"/>
              </w:tblBorders>
              <w:shd w:val="clear" w:color="auto" w:fill="D9D9D9" w:themeFill="background1" w:themeFillShade="D9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1227"/>
              <w:gridCol w:w="1201"/>
              <w:gridCol w:w="1207"/>
              <w:gridCol w:w="1306"/>
            </w:tblGrid>
            <w:tr w:rsidR="00C56B13" w:rsidRPr="004835F9" w:rsidTr="00967C9C">
              <w:tc>
                <w:tcPr>
                  <w:tcW w:w="1466" w:type="dxa"/>
                  <w:shd w:val="clear" w:color="auto" w:fill="D9D9D9" w:themeFill="background1" w:themeFillShade="D9"/>
                </w:tcPr>
                <w:p w:rsidR="003640EA" w:rsidRPr="004835F9" w:rsidRDefault="003640EA" w:rsidP="00967C9C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Kernconcepten</w:t>
                  </w:r>
                </w:p>
              </w:tc>
              <w:tc>
                <w:tcPr>
                  <w:tcW w:w="3635" w:type="dxa"/>
                  <w:gridSpan w:val="3"/>
                  <w:shd w:val="clear" w:color="auto" w:fill="D9D9D9" w:themeFill="background1" w:themeFillShade="D9"/>
                </w:tcPr>
                <w:p w:rsidR="003640EA" w:rsidRPr="004835F9" w:rsidRDefault="003640EA" w:rsidP="003640EA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nergie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</m:t>
                    </m:r>
                  </m:oMath>
                </w:p>
              </w:tc>
              <w:tc>
                <w:tcPr>
                  <w:tcW w:w="1306" w:type="dxa"/>
                  <w:shd w:val="clear" w:color="auto" w:fill="D9D9D9" w:themeFill="background1" w:themeFillShade="D9"/>
                </w:tcPr>
                <w:p w:rsidR="003640EA" w:rsidRPr="004835F9" w:rsidRDefault="003640EA" w:rsidP="003640EA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racht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oMath>
                </w:p>
              </w:tc>
            </w:tr>
            <w:tr w:rsidR="003640EA" w:rsidRPr="004835F9" w:rsidTr="00967C9C">
              <w:tc>
                <w:tcPr>
                  <w:tcW w:w="1466" w:type="dxa"/>
                  <w:shd w:val="clear" w:color="auto" w:fill="D9D9D9" w:themeFill="background1" w:themeFillShade="D9"/>
                </w:tcPr>
                <w:p w:rsidR="003640EA" w:rsidRPr="004835F9" w:rsidRDefault="003640EA" w:rsidP="00967C9C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Concepten</w:t>
                  </w:r>
                </w:p>
              </w:tc>
              <w:tc>
                <w:tcPr>
                  <w:tcW w:w="1227" w:type="dxa"/>
                  <w:shd w:val="clear" w:color="auto" w:fill="D9D9D9" w:themeFill="background1" w:themeFillShade="D9"/>
                </w:tcPr>
                <w:p w:rsidR="003640EA" w:rsidRPr="004835F9" w:rsidRDefault="00C56B13" w:rsidP="00C56B13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="003640EA"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nergiesoort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sub>
                    </m:sSub>
                  </m:oMath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</w:tcPr>
                <w:p w:rsidR="003640EA" w:rsidRPr="004835F9" w:rsidRDefault="00C56B13" w:rsidP="00C56B13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</w:t>
                  </w:r>
                  <w:r w:rsidR="003640EA"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ermogen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oMath>
                </w:p>
              </w:tc>
              <w:tc>
                <w:tcPr>
                  <w:tcW w:w="1207" w:type="dxa"/>
                  <w:shd w:val="clear" w:color="auto" w:fill="D9D9D9" w:themeFill="background1" w:themeFillShade="D9"/>
                </w:tcPr>
                <w:p w:rsidR="003640EA" w:rsidRPr="004835F9" w:rsidRDefault="00C56B13" w:rsidP="00C56B13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 w:rsidR="003640EA"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endement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η</m:t>
                    </m:r>
                  </m:oMath>
                </w:p>
              </w:tc>
              <w:tc>
                <w:tcPr>
                  <w:tcW w:w="1306" w:type="dxa"/>
                  <w:shd w:val="clear" w:color="auto" w:fill="D9D9D9" w:themeFill="background1" w:themeFillShade="D9"/>
                </w:tcPr>
                <w:p w:rsidR="003640EA" w:rsidRPr="004835F9" w:rsidRDefault="00C56B13" w:rsidP="00C56B13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="003640EA"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rbeid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W</m:t>
                    </m:r>
                  </m:oMath>
                </w:p>
              </w:tc>
            </w:tr>
            <w:tr w:rsidR="003640EA" w:rsidRPr="004835F9" w:rsidTr="00967C9C">
              <w:tc>
                <w:tcPr>
                  <w:tcW w:w="1466" w:type="dxa"/>
                  <w:shd w:val="clear" w:color="auto" w:fill="D9D9D9" w:themeFill="background1" w:themeFillShade="D9"/>
                </w:tcPr>
                <w:p w:rsidR="003640EA" w:rsidRPr="004835F9" w:rsidRDefault="003640EA" w:rsidP="00967C9C">
                  <w:pPr>
                    <w:tabs>
                      <w:tab w:val="left" w:pos="340"/>
                      <w:tab w:val="left" w:pos="62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835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Vakbegrippen</w:t>
                  </w:r>
                  <w:proofErr w:type="spellEnd"/>
                </w:p>
              </w:tc>
              <w:tc>
                <w:tcPr>
                  <w:tcW w:w="1227" w:type="dxa"/>
                  <w:shd w:val="clear" w:color="auto" w:fill="D9D9D9" w:themeFill="background1" w:themeFillShade="D9"/>
                </w:tcPr>
                <w:p w:rsidR="003640EA" w:rsidRPr="00DB349B" w:rsidRDefault="00D5594B" w:rsidP="00967C9C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sub>
                    </m:sSub>
                  </m:oMath>
                  <w:r w:rsidR="003640EA" w:rsidRPr="00DB349B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z</m:t>
                        </m:r>
                      </m:sub>
                    </m:sSub>
                  </m:oMath>
                  <w:r w:rsidR="003640EA" w:rsidRPr="00DB349B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ch</m:t>
                        </m:r>
                      </m:sub>
                    </m:sSub>
                  </m:oMath>
                  <w:r w:rsidR="003640EA" w:rsidRPr="00DB349B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, </w:t>
                  </w:r>
                  <m:oMath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Q</m:t>
                    </m:r>
                  </m:oMath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</w:tcPr>
                <w:p w:rsidR="003640EA" w:rsidRPr="00DB349B" w:rsidRDefault="003640EA" w:rsidP="00967C9C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="Arial" w:hAnsi="Cambria Math" w:cs="Times New Roman"/>
                          <w:sz w:val="16"/>
                          <w:szCs w:val="16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1207" w:type="dxa"/>
                  <w:shd w:val="clear" w:color="auto" w:fill="D9D9D9" w:themeFill="background1" w:themeFillShade="D9"/>
                </w:tcPr>
                <w:p w:rsidR="003640EA" w:rsidRPr="00DB349B" w:rsidRDefault="00D5594B" w:rsidP="00967C9C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Arial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nuttig</m:t>
                        </m:r>
                      </m:sub>
                    </m:sSub>
                  </m:oMath>
                  <w:r w:rsidR="003640EA" w:rsidRPr="00DB349B"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eastAsia="Arial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in</m:t>
                        </m:r>
                      </m:sub>
                    </m:sSub>
                  </m:oMath>
                </w:p>
              </w:tc>
              <w:tc>
                <w:tcPr>
                  <w:tcW w:w="1306" w:type="dxa"/>
                  <w:shd w:val="clear" w:color="auto" w:fill="D9D9D9" w:themeFill="background1" w:themeFillShade="D9"/>
                </w:tcPr>
                <w:p w:rsidR="003640EA" w:rsidRPr="00DB349B" w:rsidRDefault="003640EA" w:rsidP="00967C9C">
                  <w:pPr>
                    <w:tabs>
                      <w:tab w:val="left" w:pos="340"/>
                      <w:tab w:val="left" w:pos="624"/>
                    </w:tabs>
                    <w:jc w:val="center"/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m:oMath>
                    <m:r>
                      <w:rPr>
                        <w:rFonts w:ascii="Cambria Math" w:eastAsia="Arial" w:hAnsi="Cambria Math" w:cs="Times New Roman"/>
                        <w:sz w:val="16"/>
                        <w:szCs w:val="16"/>
                      </w:rPr>
                      <m:t>s</m:t>
                    </m:r>
                  </m:oMath>
                  <w:r w:rsidRPr="00DB349B"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eastAsia="Arial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z</m:t>
                        </m:r>
                      </m:sub>
                    </m:sSub>
                  </m:oMath>
                  <w:r w:rsidRPr="00DB349B"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eastAsia="Arial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n</m:t>
                        </m:r>
                      </m:sub>
                    </m:sSub>
                  </m:oMath>
                  <w:r w:rsidRPr="00DB349B"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eastAsia="Arial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Arial" w:hAnsi="Cambria Math" w:cs="Times New Roman"/>
                            <w:sz w:val="16"/>
                            <w:szCs w:val="16"/>
                          </w:rPr>
                          <m:t>w</m:t>
                        </m:r>
                      </m:sub>
                    </m:sSub>
                  </m:oMath>
                </w:p>
              </w:tc>
            </w:tr>
          </w:tbl>
          <w:p w:rsidR="003A6F60" w:rsidRPr="003640EA" w:rsidRDefault="003A6F60" w:rsidP="003640EA">
            <w:pPr>
              <w:tabs>
                <w:tab w:val="left" w:pos="340"/>
                <w:tab w:val="left" w:pos="624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Hierbij moet worden opgemerkt dat het onderbrengen van de verschillende begrippen in de categorieën kernconcepten, concepten en </w:t>
            </w:r>
            <w:proofErr w:type="spellStart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vakbegrippen</w:t>
            </w:r>
            <w:proofErr w:type="spellEnd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 xml:space="preserve"> voor discussie vatbaar is. Daarnaast lijkt de in de figuur hierboven gemaakte indeling van begrippen in de drie categorieën niet in overeenstemming met het in de syllabus gehanteerde concept ‘</w:t>
            </w:r>
            <w:proofErr w:type="spellStart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vakbegrip</w:t>
            </w:r>
            <w:proofErr w:type="spellEnd"/>
            <w:r w:rsidRPr="004835F9">
              <w:rPr>
                <w:rFonts w:ascii="Times New Roman" w:hAnsi="Times New Roman" w:cs="Times New Roman"/>
                <w:sz w:val="18"/>
                <w:szCs w:val="18"/>
              </w:rPr>
              <w:t>’.</w:t>
            </w:r>
          </w:p>
        </w:tc>
      </w:tr>
    </w:tbl>
    <w:p w:rsidR="00DE0A60" w:rsidRDefault="00DE0A60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DE0A60" w:rsidRPr="00436D01" w:rsidRDefault="00DE0A60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36D01">
        <w:rPr>
          <w:rFonts w:ascii="Times New Roman" w:hAnsi="Times New Roman" w:cs="Times New Roman"/>
          <w:b/>
          <w:sz w:val="20"/>
          <w:szCs w:val="20"/>
        </w:rPr>
        <w:t>2</w:t>
      </w:r>
      <w:r w:rsidRPr="00436D01">
        <w:rPr>
          <w:rFonts w:ascii="Times New Roman" w:hAnsi="Times New Roman" w:cs="Times New Roman"/>
          <w:b/>
          <w:sz w:val="20"/>
          <w:szCs w:val="20"/>
        </w:rPr>
        <w:tab/>
      </w:r>
      <w:r w:rsidRPr="00436D01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DE0A60" w:rsidRPr="00F45BFA" w:rsidRDefault="00DE0A60" w:rsidP="00DE0A60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45BFA">
        <w:rPr>
          <w:rFonts w:ascii="Times New Roman" w:hAnsi="Times New Roman" w:cs="Times New Roman"/>
          <w:sz w:val="20"/>
          <w:szCs w:val="20"/>
        </w:rPr>
        <w:t xml:space="preserve">Wissel je ervaringen met het </w:t>
      </w:r>
      <w:r>
        <w:rPr>
          <w:rFonts w:ascii="Times New Roman" w:hAnsi="Times New Roman" w:cs="Times New Roman"/>
          <w:sz w:val="20"/>
          <w:szCs w:val="20"/>
        </w:rPr>
        <w:t xml:space="preserve">analyseren en beoordelen van het </w:t>
      </w:r>
      <w:proofErr w:type="spellStart"/>
      <w:r>
        <w:rPr>
          <w:rFonts w:ascii="Times New Roman" w:hAnsi="Times New Roman" w:cs="Times New Roman"/>
          <w:sz w:val="20"/>
          <w:szCs w:val="20"/>
        </w:rPr>
        <w:t>lesmateriaal</w:t>
      </w:r>
      <w:r>
        <w:rPr>
          <w:rFonts w:ascii="Times New Roman" w:hAnsi="Times New Roman" w:cs="Times New Roman"/>
          <w:sz w:val="20"/>
          <w:szCs w:val="20"/>
        </w:rPr>
        <w:softHyphen/>
        <w:t>voorbeeld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5BFA">
        <w:rPr>
          <w:rFonts w:ascii="Times New Roman" w:hAnsi="Times New Roman" w:cs="Times New Roman"/>
          <w:sz w:val="20"/>
          <w:szCs w:val="20"/>
        </w:rPr>
        <w:t xml:space="preserve">bij opdracht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F45BFA">
        <w:rPr>
          <w:rFonts w:ascii="Times New Roman" w:hAnsi="Times New Roman" w:cs="Times New Roman"/>
          <w:sz w:val="20"/>
          <w:szCs w:val="20"/>
        </w:rPr>
        <w:t xml:space="preserve"> onderling uit</w:t>
      </w:r>
      <w:r>
        <w:rPr>
          <w:rFonts w:ascii="Times New Roman" w:hAnsi="Times New Roman" w:cs="Times New Roman"/>
          <w:sz w:val="20"/>
          <w:szCs w:val="20"/>
        </w:rPr>
        <w:t>: wat zijn de belangrijkste kenmerken van elk van de geanaly</w:t>
      </w:r>
      <w:r>
        <w:rPr>
          <w:rFonts w:ascii="Times New Roman" w:hAnsi="Times New Roman" w:cs="Times New Roman"/>
          <w:sz w:val="20"/>
          <w:szCs w:val="20"/>
        </w:rPr>
        <w:softHyphen/>
        <w:t>seerde voorbeelden? B</w:t>
      </w:r>
      <w:r w:rsidRPr="00F45BFA">
        <w:rPr>
          <w:rFonts w:ascii="Times New Roman" w:hAnsi="Times New Roman" w:cs="Times New Roman"/>
          <w:sz w:val="20"/>
          <w:szCs w:val="20"/>
        </w:rPr>
        <w:t xml:space="preserve">espreek wat er </w:t>
      </w:r>
      <w:r>
        <w:rPr>
          <w:rFonts w:ascii="Times New Roman" w:hAnsi="Times New Roman" w:cs="Times New Roman"/>
          <w:sz w:val="20"/>
          <w:szCs w:val="20"/>
        </w:rPr>
        <w:t>in die voorbeel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den </w:t>
      </w:r>
      <w:r w:rsidRPr="00F45BFA">
        <w:rPr>
          <w:rFonts w:ascii="Times New Roman" w:hAnsi="Times New Roman" w:cs="Times New Roman"/>
          <w:sz w:val="20"/>
          <w:szCs w:val="20"/>
        </w:rPr>
        <w:t>voor verbetering vatbaar is: wat kan er hoe anders, en mogelijk beter?</w:t>
      </w:r>
    </w:p>
    <w:p w:rsidR="00DE0A60" w:rsidRDefault="00DE0A60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DE0A60" w:rsidRPr="00126DA3" w:rsidRDefault="00DE0A60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26DA3">
        <w:rPr>
          <w:rFonts w:ascii="Times New Roman" w:hAnsi="Times New Roman" w:cs="Times New Roman"/>
          <w:b/>
          <w:sz w:val="20"/>
          <w:szCs w:val="20"/>
        </w:rPr>
        <w:t>3</w:t>
      </w:r>
      <w:r w:rsidRPr="00126DA3">
        <w:rPr>
          <w:rFonts w:ascii="Times New Roman" w:hAnsi="Times New Roman" w:cs="Times New Roman"/>
          <w:b/>
          <w:sz w:val="20"/>
          <w:szCs w:val="20"/>
        </w:rPr>
        <w:tab/>
      </w:r>
      <w:r w:rsidRPr="00126DA3">
        <w:rPr>
          <w:rFonts w:ascii="Times New Roman" w:hAnsi="Times New Roman" w:cs="Times New Roman"/>
          <w:b/>
          <w:color w:val="0070C0"/>
          <w:sz w:val="20"/>
          <w:szCs w:val="20"/>
        </w:rPr>
        <w:t>Reflecteren</w:t>
      </w:r>
    </w:p>
    <w:p w:rsidR="00DE0A60" w:rsidRPr="00126DA3" w:rsidRDefault="00DE0A60" w:rsidP="00DE0A60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ab/>
        <w:t xml:space="preserve">Bespreek onderling </w:t>
      </w:r>
      <w:r w:rsidRPr="004835F9">
        <w:rPr>
          <w:rFonts w:ascii="Times New Roman" w:hAnsi="Times New Roman" w:cs="Times New Roman"/>
          <w:sz w:val="20"/>
          <w:szCs w:val="20"/>
        </w:rPr>
        <w:t xml:space="preserve">welke van de vier </w:t>
      </w:r>
      <w:proofErr w:type="spellStart"/>
      <w:r w:rsidRPr="004835F9">
        <w:rPr>
          <w:rFonts w:ascii="Times New Roman" w:hAnsi="Times New Roman" w:cs="Times New Roman"/>
          <w:sz w:val="20"/>
          <w:szCs w:val="20"/>
        </w:rPr>
        <w:t>concept-context</w:t>
      </w:r>
      <w:r w:rsidRPr="004835F9">
        <w:rPr>
          <w:rFonts w:ascii="Times New Roman" w:hAnsi="Times New Roman" w:cs="Times New Roman"/>
          <w:sz w:val="20"/>
          <w:szCs w:val="20"/>
        </w:rPr>
        <w:softHyphen/>
        <w:t>benaderingen</w:t>
      </w:r>
      <w:proofErr w:type="spellEnd"/>
      <w:r w:rsidRPr="004835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4835F9">
        <w:rPr>
          <w:rFonts w:ascii="Times New Roman" w:hAnsi="Times New Roman" w:cs="Times New Roman"/>
          <w:sz w:val="20"/>
          <w:szCs w:val="20"/>
        </w:rPr>
        <w:t>e voorkeur zou hebben, en waarom.</w:t>
      </w:r>
    </w:p>
    <w:p w:rsidR="00DE0A60" w:rsidRDefault="00DE0A60" w:rsidP="00DE0A60">
      <w:pPr>
        <w:tabs>
          <w:tab w:val="left" w:pos="340"/>
          <w:tab w:val="left" w:pos="62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F3E9E" w:rsidRPr="004835F9" w:rsidRDefault="00DE0A60" w:rsidP="004835F9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F3E9E" w:rsidRPr="004835F9">
        <w:rPr>
          <w:rFonts w:ascii="Times New Roman" w:hAnsi="Times New Roman" w:cs="Times New Roman"/>
          <w:b/>
          <w:sz w:val="20"/>
          <w:szCs w:val="20"/>
        </w:rPr>
        <w:tab/>
      </w:r>
      <w:r w:rsidR="004F3E9E" w:rsidRPr="004835F9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4F3E9E" w:rsidRPr="004835F9" w:rsidRDefault="004F3E9E" w:rsidP="004835F9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ab/>
        <w:t xml:space="preserve">Kies een (willekeurig) hoofdstuk uit de natuurkundemethode die op </w:t>
      </w:r>
      <w:proofErr w:type="gramStart"/>
      <w:r w:rsidRPr="004835F9">
        <w:rPr>
          <w:rFonts w:ascii="Times New Roman" w:hAnsi="Times New Roman" w:cs="Times New Roman"/>
          <w:sz w:val="20"/>
          <w:szCs w:val="20"/>
        </w:rPr>
        <w:t>jouw</w:t>
      </w:r>
      <w:proofErr w:type="gramEnd"/>
      <w:r w:rsidRPr="004835F9">
        <w:rPr>
          <w:rFonts w:ascii="Times New Roman" w:hAnsi="Times New Roman" w:cs="Times New Roman"/>
          <w:sz w:val="20"/>
          <w:szCs w:val="20"/>
        </w:rPr>
        <w:t xml:space="preserve"> (stage)school in gebruik is.</w:t>
      </w:r>
    </w:p>
    <w:p w:rsidR="004F3E9E" w:rsidRPr="004835F9" w:rsidRDefault="004F3E9E" w:rsidP="004835F9">
      <w:pPr>
        <w:pStyle w:val="Lijstalinea"/>
        <w:numPr>
          <w:ilvl w:val="0"/>
          <w:numId w:val="2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 xml:space="preserve">Schets de vakstructuur van de leerstof in dit hoofdstuk door het definiëren van het kernconcept, de concepten en de </w:t>
      </w:r>
      <w:proofErr w:type="spellStart"/>
      <w:r w:rsidRPr="004835F9">
        <w:rPr>
          <w:rFonts w:ascii="Times New Roman" w:hAnsi="Times New Roman" w:cs="Times New Roman"/>
          <w:sz w:val="20"/>
          <w:szCs w:val="20"/>
        </w:rPr>
        <w:t>vakbegrippen</w:t>
      </w:r>
      <w:proofErr w:type="spellEnd"/>
      <w:r w:rsidRPr="004835F9">
        <w:rPr>
          <w:rFonts w:ascii="Times New Roman" w:hAnsi="Times New Roman" w:cs="Times New Roman"/>
          <w:sz w:val="20"/>
          <w:szCs w:val="20"/>
        </w:rPr>
        <w:t>.</w:t>
      </w:r>
    </w:p>
    <w:p w:rsidR="004F3E9E" w:rsidRPr="004835F9" w:rsidRDefault="00B4439A" w:rsidP="004835F9">
      <w:pPr>
        <w:pStyle w:val="Lijstalinea"/>
        <w:numPr>
          <w:ilvl w:val="0"/>
          <w:numId w:val="2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8E1C" wp14:editId="32BDB651">
                <wp:simplePos x="0" y="0"/>
                <wp:positionH relativeFrom="column">
                  <wp:posOffset>-1981835</wp:posOffset>
                </wp:positionH>
                <wp:positionV relativeFrom="paragraph">
                  <wp:posOffset>601675</wp:posOffset>
                </wp:positionV>
                <wp:extent cx="1799590" cy="1403985"/>
                <wp:effectExtent l="0" t="0" r="1016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60" w:rsidRPr="00F45BFA" w:rsidRDefault="00DE0A60" w:rsidP="00DE0A6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DE0A60" w:rsidRPr="00F45BFA" w:rsidRDefault="00DE0A60" w:rsidP="00DE0A6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de ontworpen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concept-contextbenadering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ling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uitwerken, 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voeren en evalueren als dat te zijner tijd op je (stage)school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6.05pt;margin-top:47.4pt;width:14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">
                <v:textbox style="mso-fit-shape-to-text:t" inset="1mm,1mm,1mm,1mm">
                  <w:txbxContent>
                    <w:p w:rsidR="00DE0A60" w:rsidRPr="00F45BFA" w:rsidRDefault="00DE0A60" w:rsidP="00DE0A6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DE0A60" w:rsidRPr="00F45BFA" w:rsidRDefault="00DE0A60" w:rsidP="00DE0A6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de ontworpen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concept-contextbenadering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ling –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uitwerken, 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uit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voeren en evalueren als dat te zijner tijd op je (stage)school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4F3E9E" w:rsidRPr="004835F9">
        <w:rPr>
          <w:rFonts w:ascii="Times New Roman" w:hAnsi="Times New Roman" w:cs="Times New Roman"/>
          <w:sz w:val="20"/>
          <w:szCs w:val="20"/>
        </w:rPr>
        <w:t xml:space="preserve">Bepaal de plaats van dit hoofdstuk op de twee assen van het concept-contextvenster: de selectie van de leerinhoud (conceptueel versus contextueel) en de inrichting van de leerinhoud (conceptueel versus contextueel). Geef een toelichting op je keuze van het kwadrant waarin dit hoofdstuk valt. </w:t>
      </w:r>
    </w:p>
    <w:p w:rsidR="004F3E9E" w:rsidRDefault="004F3E9E" w:rsidP="004835F9">
      <w:pPr>
        <w:pStyle w:val="Lijstalinea"/>
        <w:numPr>
          <w:ilvl w:val="0"/>
          <w:numId w:val="2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4835F9">
        <w:rPr>
          <w:rFonts w:ascii="Times New Roman" w:hAnsi="Times New Roman" w:cs="Times New Roman"/>
          <w:sz w:val="20"/>
          <w:szCs w:val="20"/>
        </w:rPr>
        <w:t>Bedenk met welke aanpassingen op het niveau van de lespraktijk dit hoofdstuk in een ander kwadrant zou kunnen gaan vallen.</w:t>
      </w:r>
    </w:p>
    <w:p w:rsidR="00DE0A60" w:rsidRDefault="00DE0A60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DE0A60" w:rsidRPr="00B4439A" w:rsidRDefault="00DE0A60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E0A60">
        <w:rPr>
          <w:rFonts w:ascii="Times New Roman" w:hAnsi="Times New Roman" w:cs="Times New Roman"/>
          <w:b/>
          <w:sz w:val="20"/>
          <w:szCs w:val="20"/>
        </w:rPr>
        <w:t>5</w:t>
      </w:r>
      <w:r w:rsidRPr="00DE0A60">
        <w:rPr>
          <w:rFonts w:ascii="Times New Roman" w:hAnsi="Times New Roman" w:cs="Times New Roman"/>
          <w:b/>
          <w:sz w:val="20"/>
          <w:szCs w:val="20"/>
        </w:rPr>
        <w:tab/>
      </w:r>
      <w:r w:rsidRPr="00B4439A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DE0A60" w:rsidRPr="00DE0A60" w:rsidRDefault="00B4439A" w:rsidP="00B4439A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Wissel je ervaringen met het ontwerpen van een concept-contextbenadering bij opdracht </w:t>
      </w:r>
      <w:r w:rsidRPr="00B4439A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onderling uit: van welke ‘kwadrant-overgang’ is er sprake als gevolg van de ontworpen aanpassingen? Bespreek wat er in die aanpas</w:t>
      </w:r>
      <w:r>
        <w:rPr>
          <w:rFonts w:ascii="Times New Roman" w:hAnsi="Times New Roman" w:cs="Times New Roman"/>
          <w:sz w:val="20"/>
          <w:szCs w:val="20"/>
        </w:rPr>
        <w:softHyphen/>
        <w:t>singen voor verbetering vatbaar is: wat kan er hoe anders, en mogelijk beter?</w:t>
      </w:r>
    </w:p>
    <w:p w:rsidR="00B80466" w:rsidRDefault="00B80466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54F2" w:rsidRPr="004B233E" w:rsidRDefault="00B454F2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B233E">
        <w:rPr>
          <w:rFonts w:ascii="Times New Roman" w:hAnsi="Times New Roman" w:cs="Times New Roman"/>
          <w:b/>
          <w:color w:val="0070C0"/>
          <w:sz w:val="20"/>
          <w:szCs w:val="20"/>
        </w:rPr>
        <w:t>Literatuur</w:t>
      </w:r>
    </w:p>
    <w:p w:rsidR="00B454F2" w:rsidRPr="004B233E" w:rsidRDefault="00B454F2" w:rsidP="00B454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Bruning, L. &amp; Michels, B. (2013). </w:t>
      </w:r>
      <w:hyperlink r:id="rId7" w:history="1">
        <w:r w:rsidRPr="004B233E">
          <w:rPr>
            <w:rStyle w:val="Hyperlink"/>
            <w:rFonts w:ascii="Times New Roman" w:hAnsi="Times New Roman" w:cs="Times New Roman"/>
            <w:i/>
            <w:color w:val="000000" w:themeColor="text1"/>
            <w:sz w:val="18"/>
            <w:szCs w:val="18"/>
            <w:u w:val="none"/>
          </w:rPr>
          <w:t>Concept-contextvenster – Zicht op de wisselwerking tussen concepten en contexten in het bèta-onderwijs</w:t>
        </w:r>
      </w:hyperlink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>. Enschede: SLO.</w:t>
      </w:r>
    </w:p>
    <w:p w:rsidR="00B454F2" w:rsidRPr="004B233E" w:rsidRDefault="00B454F2" w:rsidP="00B454F2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>CvE</w:t>
      </w:r>
      <w:proofErr w:type="spellEnd"/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(2012a). </w:t>
      </w:r>
      <w:r w:rsidRPr="004B233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Natuurkunde havo. Syllabus centraal examen 2015</w:t>
      </w:r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>. Utrecht: College voor Examens.</w:t>
      </w:r>
    </w:p>
    <w:p w:rsidR="00B454F2" w:rsidRPr="004B233E" w:rsidRDefault="00B454F2" w:rsidP="00B454F2">
      <w:pPr>
        <w:widowControl w:val="0"/>
        <w:ind w:left="340" w:hanging="340"/>
        <w:rPr>
          <w:rFonts w:ascii="Times New Roman" w:hAnsi="Times New Roman" w:cs="Times New Roman"/>
          <w:sz w:val="18"/>
          <w:szCs w:val="18"/>
        </w:rPr>
      </w:pPr>
      <w:proofErr w:type="spellStart"/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>CvE</w:t>
      </w:r>
      <w:proofErr w:type="spellEnd"/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(2012b). </w:t>
      </w:r>
      <w:r w:rsidRPr="004B233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Natuurkunde vwo. Syllabus centraal examen 2016</w:t>
      </w:r>
      <w:r w:rsidRPr="004B233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Utrecht: College voor </w:t>
      </w:r>
      <w:r w:rsidRPr="004B233E">
        <w:rPr>
          <w:rFonts w:ascii="Times New Roman" w:hAnsi="Times New Roman" w:cs="Times New Roman"/>
          <w:sz w:val="18"/>
          <w:szCs w:val="18"/>
        </w:rPr>
        <w:t>Examens.</w:t>
      </w:r>
    </w:p>
    <w:p w:rsidR="00B454F2" w:rsidRPr="004B233E" w:rsidRDefault="00B454F2" w:rsidP="00B454F2">
      <w:pPr>
        <w:widowControl w:val="0"/>
        <w:ind w:left="340" w:hanging="340"/>
        <w:rPr>
          <w:rFonts w:ascii="Times New Roman" w:hAnsi="Times New Roman" w:cs="Times New Roman"/>
          <w:sz w:val="18"/>
          <w:szCs w:val="18"/>
        </w:rPr>
      </w:pPr>
      <w:r w:rsidRPr="004B233E">
        <w:rPr>
          <w:rFonts w:ascii="Times New Roman" w:hAnsi="Times New Roman" w:cs="Times New Roman"/>
          <w:sz w:val="18"/>
          <w:szCs w:val="18"/>
        </w:rPr>
        <w:t xml:space="preserve">Kortland, J. (2015). </w:t>
      </w:r>
      <w:r w:rsidR="004B233E" w:rsidRPr="004B233E">
        <w:rPr>
          <w:rFonts w:ascii="Times New Roman" w:hAnsi="Times New Roman" w:cs="Times New Roman"/>
          <w:i/>
          <w:sz w:val="18"/>
          <w:szCs w:val="18"/>
        </w:rPr>
        <w:t>Lesmateriaalvoorbeelden natuurkunde in het concept-contextvenster</w:t>
      </w:r>
      <w:r w:rsidR="004B233E" w:rsidRPr="004B233E">
        <w:rPr>
          <w:rFonts w:ascii="Times New Roman" w:hAnsi="Times New Roman" w:cs="Times New Roman"/>
          <w:sz w:val="18"/>
          <w:szCs w:val="18"/>
        </w:rPr>
        <w:t>.</w:t>
      </w:r>
      <w:r w:rsidR="004B233E">
        <w:rPr>
          <w:rFonts w:ascii="Times New Roman" w:hAnsi="Times New Roman" w:cs="Times New Roman"/>
          <w:sz w:val="18"/>
          <w:szCs w:val="18"/>
        </w:rPr>
        <w:t xml:space="preserve"> Houten: JKU.</w:t>
      </w:r>
    </w:p>
    <w:p w:rsidR="00B454F2" w:rsidRPr="004835F9" w:rsidRDefault="00B454F2" w:rsidP="00DE0A60">
      <w:pPr>
        <w:tabs>
          <w:tab w:val="left" w:pos="340"/>
          <w:tab w:val="left" w:pos="624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454F2" w:rsidRPr="004835F9" w:rsidSect="00544E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2"/>
    <w:multiLevelType w:val="hybridMultilevel"/>
    <w:tmpl w:val="D4D8DF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E570AE"/>
    <w:multiLevelType w:val="hybridMultilevel"/>
    <w:tmpl w:val="24788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7A05"/>
    <w:multiLevelType w:val="hybridMultilevel"/>
    <w:tmpl w:val="AB86B97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B356D"/>
    <w:multiLevelType w:val="hybridMultilevel"/>
    <w:tmpl w:val="98825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34B8"/>
    <w:multiLevelType w:val="hybridMultilevel"/>
    <w:tmpl w:val="8562A1D6"/>
    <w:lvl w:ilvl="0" w:tplc="FDD46E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0D6F"/>
    <w:multiLevelType w:val="hybridMultilevel"/>
    <w:tmpl w:val="FDFE9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16E"/>
    <w:rsid w:val="0006143E"/>
    <w:rsid w:val="000853D4"/>
    <w:rsid w:val="00092B4D"/>
    <w:rsid w:val="001127D7"/>
    <w:rsid w:val="00161467"/>
    <w:rsid w:val="00201ABA"/>
    <w:rsid w:val="00204874"/>
    <w:rsid w:val="00220A21"/>
    <w:rsid w:val="002267A6"/>
    <w:rsid w:val="002D2C0F"/>
    <w:rsid w:val="002D431E"/>
    <w:rsid w:val="003640EA"/>
    <w:rsid w:val="003A6F60"/>
    <w:rsid w:val="004168F1"/>
    <w:rsid w:val="00436D01"/>
    <w:rsid w:val="00461C1C"/>
    <w:rsid w:val="004835F9"/>
    <w:rsid w:val="004B233E"/>
    <w:rsid w:val="004F3E9E"/>
    <w:rsid w:val="005015CD"/>
    <w:rsid w:val="0050726C"/>
    <w:rsid w:val="0052215B"/>
    <w:rsid w:val="0053128E"/>
    <w:rsid w:val="00535542"/>
    <w:rsid w:val="00544ECA"/>
    <w:rsid w:val="00624A0D"/>
    <w:rsid w:val="006D1479"/>
    <w:rsid w:val="006F3A73"/>
    <w:rsid w:val="00734FCD"/>
    <w:rsid w:val="007521C9"/>
    <w:rsid w:val="007A0BF5"/>
    <w:rsid w:val="007A288F"/>
    <w:rsid w:val="007D76AC"/>
    <w:rsid w:val="007E0AB0"/>
    <w:rsid w:val="00841191"/>
    <w:rsid w:val="00857AA2"/>
    <w:rsid w:val="008747E8"/>
    <w:rsid w:val="00881235"/>
    <w:rsid w:val="008F7FAA"/>
    <w:rsid w:val="00956895"/>
    <w:rsid w:val="00992FF3"/>
    <w:rsid w:val="009B6885"/>
    <w:rsid w:val="009C16F5"/>
    <w:rsid w:val="00A04E76"/>
    <w:rsid w:val="00AB63EC"/>
    <w:rsid w:val="00AD0CB3"/>
    <w:rsid w:val="00AE0F24"/>
    <w:rsid w:val="00B11AF4"/>
    <w:rsid w:val="00B4439A"/>
    <w:rsid w:val="00B454F2"/>
    <w:rsid w:val="00B80466"/>
    <w:rsid w:val="00C46AF0"/>
    <w:rsid w:val="00C501DF"/>
    <w:rsid w:val="00C56B13"/>
    <w:rsid w:val="00CB786B"/>
    <w:rsid w:val="00D5594B"/>
    <w:rsid w:val="00D76D51"/>
    <w:rsid w:val="00DA7842"/>
    <w:rsid w:val="00DB349B"/>
    <w:rsid w:val="00DE0A60"/>
    <w:rsid w:val="00E87216"/>
    <w:rsid w:val="00E97FE3"/>
    <w:rsid w:val="00EF7313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640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64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o.nl/organisatie/recentepublicaties/concept-contex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0EC3-4299-42C7-8D90-AA28DC7B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2017-04-17T08:09:00Z</dcterms:created>
  <dcterms:modified xsi:type="dcterms:W3CDTF">2017-04-17T08:09:00Z</dcterms:modified>
</cp:coreProperties>
</file>